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Утверждена                                                               Согласовано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Директор школы Уварова И.В.                                Зам.руководителя____________________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___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_________________2020г.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Печать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Кыринская средняя общеобразовательная школа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МАТЕМАТИКЕ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 обучающихся  10-11 классов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профильный  уровень)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учителя   ______________________</w:t>
      </w: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2020\2021 </w:t>
      </w:r>
      <w:r>
        <w:rPr>
          <w:rFonts w:ascii="Times New Roman" w:hAnsi="Times New Roman" w:cs="Times New Roman"/>
          <w:color w:val="000000"/>
          <w:sz w:val="28"/>
          <w:szCs w:val="28"/>
        </w:rPr>
        <w:t>учебный год</w:t>
      </w: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предназначена для образовательных организаций, реализующих программу среднего общего образования.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на основе следующих нормативно- правовых актов: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» (</w:t>
      </w:r>
      <w:r>
        <w:rPr>
          <w:rFonts w:ascii="Segoe UI Symbol" w:hAnsi="Segoe UI Symbol" w:cs="Segoe UI Symbol"/>
          <w:color w:val="000000"/>
          <w:sz w:val="24"/>
          <w:szCs w:val="24"/>
          <w:lang w:val="en-US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273-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ФЗ от 29.12.2012г., ст. 12,13),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 Министерства образования и науки Российской Федерации от 30 августа 2013 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1015 «</w:t>
      </w:r>
      <w:r>
        <w:rPr>
          <w:rFonts w:ascii="Times New Roman" w:hAnsi="Times New Roman" w:cs="Times New Roman"/>
          <w:color w:val="000000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»,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Минобрнауки России от 31.12.2015 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1578 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413»;;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просвещения Российской Федерации от 20.05.2020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254 "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14.09.2020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59808)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Концепция развития математического образования, утверждена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24 декабря 2013г. N 2506-р г. Москва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Образовательной программой ООО МБОУ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Кыринская средняя общеобразовательная школа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24. 05. 2012г, приказ от 31.05.2012г.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66-1.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 учителя, реализующего ФГОС ООП, МБОУ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Кыринская СОШ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» 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1-2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14.01.2013г), с изменениями, внесёнными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решением педагогического совета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31.09.2016 , приказ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82 </w:t>
      </w:r>
      <w:r>
        <w:rPr>
          <w:rFonts w:ascii="Times New Roman" w:hAnsi="Times New Roman" w:cs="Times New Roman"/>
          <w:color w:val="000000"/>
          <w:sz w:val="24"/>
          <w:szCs w:val="24"/>
        </w:rPr>
        <w:t>от 1.09.2016г.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before="100" w:after="10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математики в старшей школе на профильном уровне направлено на достижение следующих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устным и письменным математическим языком, математическими знаниями и умениями,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необходимыми для изучения  школьных  естественнонаучных дисциплин, для продолжения образования и освоения избранной специальности на современном уровне;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воспитание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обучения:</w:t>
      </w:r>
    </w:p>
    <w:p w:rsidR="00AE38B6" w:rsidRDefault="00AE38B6" w:rsidP="00AE38B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AE38B6" w:rsidRDefault="00AE38B6" w:rsidP="00AE38B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AE38B6" w:rsidRDefault="00AE38B6" w:rsidP="00AE38B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AE38B6" w:rsidRDefault="00AE38B6" w:rsidP="00AE38B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основными идеями и методами математического анализа;</w:t>
      </w:r>
    </w:p>
    <w:p w:rsidR="00AE38B6" w:rsidRDefault="00AE38B6" w:rsidP="00AE38B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AE38B6" w:rsidRDefault="00AE38B6" w:rsidP="00AE38B6">
      <w:pPr>
        <w:autoSpaceDE w:val="0"/>
        <w:autoSpaceDN w:val="0"/>
        <w:adjustRightInd w:val="0"/>
        <w:spacing w:before="100" w:after="10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реализации программы – 2 года.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математики в 10-11 классах  дает возможность обучающимся достичь следующих результатов развития: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личностном направлении: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общественно-полезной, учебно-исследовательской, проектной и других видах деятельности;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метапредметном направлении: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Числа и выражения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понятиями, связанными с делимостью натуральных чисел;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начальные представления о множестве действительных чисел;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выражать числа в эквивалентных формах, выбирая наиболее подходящую взависимости от конкретной ситуации;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равнивать и упорядочивать действительные числа;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вычисления с рациональными числами, сочетая устные и письменные приёмы вычислений, применение калькулятора;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действия с 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оперировать понятиями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тождество</w:t>
      </w:r>
      <w:r>
        <w:rPr>
          <w:rFonts w:ascii="Times New Roman" w:hAnsi="Times New Roman" w:cs="Times New Roman"/>
          <w:sz w:val="24"/>
          <w:szCs w:val="24"/>
          <w:lang w:val="en-US"/>
        </w:rPr>
        <w:t>», «</w:t>
      </w:r>
      <w:r>
        <w:rPr>
          <w:rFonts w:ascii="Times New Roman" w:hAnsi="Times New Roman" w:cs="Times New Roman"/>
          <w:sz w:val="24"/>
          <w:szCs w:val="24"/>
        </w:rPr>
        <w:t>тождественное преобразование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решать задачи, содержащие буквенные данные; работать с формулами;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Выпускник получит возможность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углубить и развить представления о натуральных числах и свойствах делимости;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</w:t>
      </w:r>
      <w:r>
        <w:rPr>
          <w:rFonts w:ascii="Times New Roman" w:hAnsi="Times New Roman" w:cs="Times New Roman"/>
          <w:i/>
          <w:iCs/>
          <w:sz w:val="24"/>
          <w:szCs w:val="24"/>
        </w:rPr>
        <w:t>записи приближённых значений, содержащихся в информационных источниках, можно судить о погрешности приближения;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понять, что погрешность результата вычислений должна быть соизмерима с погрешностью исходных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выполнять многошаговые преобразования рациональных выражений, применяя широкий набор способов и приёмов;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Уравнения и неравенства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•  </w:t>
      </w:r>
      <w:r>
        <w:rPr>
          <w:rFonts w:ascii="Times New Roman" w:hAnsi="Times New Roman" w:cs="Times New Roman"/>
          <w:sz w:val="24"/>
          <w:szCs w:val="24"/>
        </w:rPr>
        <w:t>решать рациональные неравенства методом интервалов, простейшие иррациональные неравенства и неравенства  с модулем 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применять аппарат неравенств для решения задач из различных разделов курса.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Функции, тригонометрия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строить графики тригонометрических, показательной и логарифмической функций; исследовать свойства числовых функций на основе изучения поведения их графиков;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основные виды тригонометрических уравнений, простейших неравенств, систем.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выколотыми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» </w:t>
      </w:r>
      <w:r>
        <w:rPr>
          <w:rFonts w:ascii="Times New Roman" w:hAnsi="Times New Roman" w:cs="Times New Roman"/>
          <w:i/>
          <w:iCs/>
          <w:sz w:val="24"/>
          <w:szCs w:val="24"/>
        </w:rPr>
        <w:t>точками и т. п.);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Элементы комбинаторики, статистики, теории вероятности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простейшие способы представления и анализа статистических данных;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находить относительную частоту и вероятность случайного события;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числа объектов или комбинаций.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научиться некоторым специальным приёмам решения комбинаторных задач.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Геометрия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тела  и их конфигурации;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строить сечения многогранников и изображать сечения тел вращения;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овладеть методами решения задач на вычисления и доказательство;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приобрести опыт применения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алгебраического и тригонометрического аппарата и идей движения при решении геометрических задач;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координатно-векторный метод для вычисления отношений, расстояний и углов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приобрести опыт исследования свойств фигур с помощью компьютерных программ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 </w:t>
      </w:r>
      <w:r>
        <w:rPr>
          <w:rFonts w:ascii="Times New Roman" w:hAnsi="Times New Roman" w:cs="Times New Roman"/>
          <w:i/>
          <w:iCs/>
          <w:sz w:val="24"/>
          <w:szCs w:val="24"/>
        </w:rPr>
        <w:t>приобрести опыт выполнения проектов.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Начала математического анализа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находить сумму бесконечно убывающей геометрический прогрессии;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исследовать функции и строить их графики с помощью производной;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решать задачи с применением уравнения касательной к графику функции;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решать задачи на нахождение наибольшего и наименьшего значения функции на отрезке;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площадь криволинейной трапеции;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38B6" w:rsidRDefault="00AE38B6" w:rsidP="00AE38B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решения геометрических, физических, экономических и других прикладных задач,  в том числе задач на наибольшие и наименьшие значения с применением аппарата математического анализа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предмета в учебном плане</w:t>
      </w: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плане входит в предметную область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 и информатика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»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Продолжительность учебного года основного общего образования составляет 34 недели.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Продолжительность урока составляет 40 минут.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курса математики в 10- 11 классах (углубленный уровень) рассчитано на 204 часа из расчёта 6 часов в неделю в 10 и 11 классах.На изучение алгебры и начала математического анализа в 10 и 11 классах отводится 136 годовых часа из расчета 4 часа в неделю. На изучение геометрии отводится 68 годовых часов в неделю, из расчета 2 часа в неделю.  Всего 408 часов.  При этом предполагается преподавание с чередованием материала по алгебре и началам анализа и геометрии. 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математике ориентирована на использование комплекта из двух книг: А.Г.Мордкович, П.В.Семенов. Алгебра и начала анализа. 10 класс. Часть 1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(профильный уровень) А.Г.Мордкович и др. Алгебра и начала анализа. 10 класс. Часть 2. Задачник (профильный уровень). А.Г.Мордкович, П.В.Семенов. Алгебра и начала анализа. 11 класс. Часть 1. Учебник (профильный уровень).  А.Г.Мордкович и др. Алгебра и начала анализа. Часть 2. Задачник (профильный уровень) и учебника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Геометрия. 10-11 классы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Л.С. Атанасян.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Планирование составлено на основе  </w:t>
      </w:r>
      <w:r>
        <w:rPr>
          <w:rFonts w:ascii="Times New Roman" w:hAnsi="Times New Roman" w:cs="Times New Roman"/>
          <w:b/>
          <w:bCs/>
          <w:sz w:val="24"/>
          <w:szCs w:val="24"/>
        </w:rPr>
        <w:t>примерных авторских программ</w:t>
      </w:r>
      <w:r>
        <w:rPr>
          <w:rFonts w:ascii="Times New Roman" w:hAnsi="Times New Roman" w:cs="Times New Roman"/>
          <w:sz w:val="24"/>
          <w:szCs w:val="24"/>
        </w:rPr>
        <w:t xml:space="preserve"> по алгебре и началам математического анализа для 10-11 классов (авторы И.И. Зубарева,  А.Г. Мордкович) и по геометрии для 10-11 классов общеобразовательных учреждений (составитель программы Т.А. Бурмистрова).</w:t>
      </w:r>
    </w:p>
    <w:p w:rsidR="00AE38B6" w:rsidRDefault="00AE38B6" w:rsidP="00AE38B6">
      <w:pPr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Основное содержание учебного предмета</w:t>
      </w:r>
    </w:p>
    <w:p w:rsidR="00AE38B6" w:rsidRDefault="00AE38B6" w:rsidP="00AE38B6">
      <w:pPr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Алгебра и начала математического анализа 10-11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AE38B6" w:rsidRDefault="00AE38B6" w:rsidP="00AE38B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Многочлены от одной переменной и их корни. Теоремы о рациональных корнях многочленов с целыми коэффициентами.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Комплексные числа и их геометрическая интерпретация. Тригонометрическая форма комплексного числа. Арифметические действия над комплексными числами: сложение, вычитание, умножение, деление, возведение в натуральную степень, извлечение корня. Основная теорема алгебры (без доказательства).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МАТЕМАТИЧЕСКИЙ АНАЛИЗ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свойства функции: монотонность, промежутки возрастания и убывания, точки максимума и минимума, ограниченность функций, четность и нечетность, периодичность.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Элементарные функции: многочлен, корень степени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, степенная, показательная, логарифмическая, тригонометрические функции. Свойства и графики элементарных функций.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Преобразования графиков функций: параллельный перенос, растяжение/сжатие вдоль осей координат, отражение от осей координат, от начала координат, графики функций с модулями.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Тригонометрические формулы приведения, сложения, преобразования произведения в сумму, формула вспомогательного аргумента.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Преобразование выражений, содержащих степенные, тригонометрические, логарифмические и показательные функции. Решение соответствующих уравнений, неравенств и их систем.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Непрерывность функции. Промежутки знакопостоянства непрерывной функции. Метод интервалов.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Композиция функций. Обратная функция.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предела последовательности. Понятие предела функции в точке. Сумма бесконечно убывающей геометрической прогрессии.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Понятие о методе математической индукции.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 в точке. Физический и геометрический смысл производной. Использование производной при исследовании функций, построении графиков. Использование свойств функций при решении текстовых, физических и геометрических задач. Решение задач на экстремум, наибольшие и наименьшие значения.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 определенном интеграле как площади криволинейной трапеции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Формула Ньютона–Лейбница. Первообразная. Приложения определенного интеграла.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lang w:val="en-US"/>
        </w:rPr>
      </w:pP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И СТАТИСТИКА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Выборки, сочетания. Биномиальные коэффициенты. Бином Ньютона. Треугольник Паскаля и его свойства.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и примеры испытаний Бернулли. Формула для вероятности числа успехов в серии испытаний Бернулли. Математическое ожидание и дисперсия числа успехов в испытании Бернулли.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примеры случайных величин. Математическое ожидание и дисперсия случайной величины.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Независимые случайные величины и события.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о законе больших чисел для последовательности независимых испытаний. Естественнонаучные применения закона больших чисел. Оценка вероятностных характеристик (математического ожидания, дисперсии) случайных величин по статистическим данным.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о геометрической вероятности. Решение простейших прикладных задач на геометрические вероятности. 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</w:t>
      </w:r>
    </w:p>
    <w:p w:rsidR="00AE38B6" w:rsidRDefault="00AE38B6" w:rsidP="00AE38B6">
      <w:pPr>
        <w:autoSpaceDE w:val="0"/>
        <w:autoSpaceDN w:val="0"/>
        <w:adjustRightInd w:val="0"/>
        <w:spacing w:before="60"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Прямые и плоскости в пространстве. </w:t>
      </w:r>
      <w:r>
        <w:rPr>
          <w:rFonts w:ascii="Times New Roman" w:hAnsi="Times New Roman" w:cs="Times New Roman"/>
          <w:sz w:val="24"/>
          <w:szCs w:val="24"/>
        </w:rPr>
        <w:t>Основные понятия стереометрии (точка, прямая, плоскость, пространство).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Пересекающиеся, параллельные и скрещивающиеся прямые. Угол между прямыми в пространстве. Перпендикулярность прямых.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Параллельность плоскостей, перпендикулярность плоскостей, признаки и свойства. Двугранный угол, линейный угол двугранного угла.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Расстояния от точки до плоскости. Расстояние от прямой до плоскости. Расстояние между параллельными плоскостями. Расстояние между скрещивающимися прямыми.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Параллельное проектирование. Площадь ортогональной проекции многоугольника. Изображение пространственных фигур.</w:t>
      </w:r>
    </w:p>
    <w:p w:rsidR="00AE38B6" w:rsidRDefault="00AE38B6" w:rsidP="00AE38B6">
      <w:pPr>
        <w:autoSpaceDE w:val="0"/>
        <w:autoSpaceDN w:val="0"/>
        <w:adjustRightInd w:val="0"/>
        <w:spacing w:before="60"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Многогранники. </w:t>
      </w:r>
      <w:r>
        <w:rPr>
          <w:rFonts w:ascii="Times New Roman" w:hAnsi="Times New Roman" w:cs="Times New Roman"/>
          <w:sz w:val="24"/>
          <w:szCs w:val="24"/>
        </w:rPr>
        <w:t>Вершины, ребра, грани многогранника. Развертка. Многогранные углы. Выпуклые многогранники. Теорема Эйлера.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Призма, ее основания, боковые ребра, высота, боковая поверхность. Прямая </w:t>
      </w:r>
      <w:r>
        <w:rPr>
          <w:rFonts w:ascii="Times New Roman" w:hAnsi="Times New Roman" w:cs="Times New Roman"/>
          <w:i/>
          <w:iCs/>
          <w:sz w:val="24"/>
          <w:szCs w:val="24"/>
        </w:rPr>
        <w:t>и наклонная</w:t>
      </w:r>
      <w:r>
        <w:rPr>
          <w:rFonts w:ascii="Times New Roman" w:hAnsi="Times New Roman" w:cs="Times New Roman"/>
          <w:sz w:val="24"/>
          <w:szCs w:val="24"/>
        </w:rPr>
        <w:t xml:space="preserve"> призма. Правильная призма. Параллелепипед. Куб.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Симметрии в кубе, в параллелепипеде, в призме и пирамиде. Понятие о симметрии в пространстве (центральная, осевая, зеркальная). Примеры симметрий в окружающем мире.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Сечения куба, призмы, пирамиды.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о правильных многогранниках (тетраэдр, куб, октаэдр, додекаэдр и икосаэдр). </w:t>
      </w:r>
    </w:p>
    <w:p w:rsidR="00AE38B6" w:rsidRDefault="00AE38B6" w:rsidP="00AE38B6">
      <w:pPr>
        <w:autoSpaceDE w:val="0"/>
        <w:autoSpaceDN w:val="0"/>
        <w:adjustRightInd w:val="0"/>
        <w:spacing w:before="60"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Тела и поверхности вращения. </w:t>
      </w:r>
      <w:r>
        <w:rPr>
          <w:rFonts w:ascii="Times New Roman" w:hAnsi="Times New Roman" w:cs="Times New Roman"/>
          <w:sz w:val="24"/>
          <w:szCs w:val="24"/>
        </w:rPr>
        <w:t xml:space="preserve">Цилиндр и конус. Усеченный конус. Основание, высота, боковая поверхность, образующая, развертка. Осевые сечения и сечения параллельные основанию. 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 и сфера, их сечения, касательная плоскость к сфере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AE38B6" w:rsidRDefault="00AE38B6" w:rsidP="00AE38B6">
      <w:pPr>
        <w:autoSpaceDE w:val="0"/>
        <w:autoSpaceDN w:val="0"/>
        <w:adjustRightInd w:val="0"/>
        <w:spacing w:before="60"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Объемы тел и площади их поверхностей. </w:t>
      </w:r>
      <w:r>
        <w:rPr>
          <w:rFonts w:ascii="Times New Roman" w:hAnsi="Times New Roman" w:cs="Times New Roman"/>
          <w:sz w:val="24"/>
          <w:szCs w:val="24"/>
        </w:rPr>
        <w:t>Понятие об объеме тела. Отношение объемов подобных тел.</w:t>
      </w:r>
    </w:p>
    <w:p w:rsidR="00AE38B6" w:rsidRDefault="00AE38B6" w:rsidP="00AE38B6">
      <w:pPr>
        <w:autoSpaceDE w:val="0"/>
        <w:autoSpaceDN w:val="0"/>
        <w:adjustRightInd w:val="0"/>
        <w:spacing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AE38B6" w:rsidRDefault="00AE38B6" w:rsidP="00AE38B6">
      <w:pPr>
        <w:autoSpaceDE w:val="0"/>
        <w:autoSpaceDN w:val="0"/>
        <w:adjustRightInd w:val="0"/>
        <w:spacing w:before="60" w:after="12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Координаты и векторы. </w:t>
      </w:r>
      <w:r>
        <w:rPr>
          <w:rFonts w:ascii="Times New Roman" w:hAnsi="Times New Roman" w:cs="Times New Roman"/>
          <w:sz w:val="24"/>
          <w:szCs w:val="24"/>
        </w:rPr>
        <w:t>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Скалярноепроизведение векторов.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Коллинеарные векторы. Разложение вектора по двум неколлинеарным векторам. Компланарные векторы. Разложение по трем некомпланарным векторам, скалярное произведение векторов, применение скалярного произведения векторов к решению задач.</w:t>
      </w:r>
    </w:p>
    <w:p w:rsidR="00AE38B6" w:rsidRDefault="00AE38B6" w:rsidP="00AE38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Calibri" w:hAnsi="Calibri" w:cs="Calibri"/>
          <w:lang w:val="en-US"/>
        </w:rPr>
      </w:pPr>
    </w:p>
    <w:p w:rsidR="0020490B" w:rsidRDefault="00AE38B6"/>
    <w:sectPr w:rsidR="0020490B" w:rsidSect="003E7E2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48771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38B6"/>
    <w:rsid w:val="003348C3"/>
    <w:rsid w:val="00A27256"/>
    <w:rsid w:val="00AE38B6"/>
    <w:rsid w:val="00B2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3173</Words>
  <Characters>18087</Characters>
  <Application>Microsoft Office Word</Application>
  <DocSecurity>0</DocSecurity>
  <Lines>150</Lines>
  <Paragraphs>42</Paragraphs>
  <ScaleCrop>false</ScaleCrop>
  <Company/>
  <LinksUpToDate>false</LinksUpToDate>
  <CharactersWithSpaces>21218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2023-11-23T14:30:00Z</dcterms:created>
  <dcterms:modified xsi:type="dcterms:W3CDTF">2023-11-23T14:31:00Z</dcterms:modified>
</cp:coreProperties>
</file>